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1A940" w14:textId="68D58E9C" w:rsidR="00254348" w:rsidRPr="00534C9B" w:rsidRDefault="00254348" w:rsidP="00F81216">
      <w:pPr>
        <w:jc w:val="center"/>
        <w:rPr>
          <w:b/>
          <w:bCs/>
          <w:color w:val="2683C6" w:themeColor="accent2"/>
          <w:sz w:val="56"/>
          <w:szCs w:val="56"/>
        </w:rPr>
      </w:pPr>
      <w:r w:rsidRPr="00534C9B">
        <w:rPr>
          <w:b/>
          <w:bCs/>
          <w:color w:val="2683C6" w:themeColor="accent2"/>
          <w:sz w:val="56"/>
          <w:szCs w:val="56"/>
          <w:lang w:val="en-US"/>
        </w:rPr>
        <w:t>Funder Inventory Template</w:t>
      </w:r>
    </w:p>
    <w:tbl>
      <w:tblPr>
        <w:tblStyle w:val="GridTable4-Accent2"/>
        <w:tblW w:w="14092" w:type="dxa"/>
        <w:tblLook w:val="04A0" w:firstRow="1" w:lastRow="0" w:firstColumn="1" w:lastColumn="0" w:noHBand="0" w:noVBand="1"/>
      </w:tblPr>
      <w:tblGrid>
        <w:gridCol w:w="1740"/>
        <w:gridCol w:w="2650"/>
        <w:gridCol w:w="1845"/>
        <w:gridCol w:w="1200"/>
        <w:gridCol w:w="2055"/>
        <w:gridCol w:w="1995"/>
        <w:gridCol w:w="2607"/>
      </w:tblGrid>
      <w:tr w:rsidR="00F81216" w:rsidRPr="00F81216" w14:paraId="15DF650A" w14:textId="77777777" w:rsidTr="56580F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0476E980" w14:textId="75502FD7" w:rsidR="00F81216" w:rsidRPr="00F81216" w:rsidRDefault="00397CD2" w:rsidP="00F8121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e.g.</w:t>
            </w:r>
          </w:p>
        </w:tc>
        <w:tc>
          <w:tcPr>
            <w:tcW w:w="2650" w:type="dxa"/>
            <w:hideMark/>
          </w:tcPr>
          <w:p w14:paraId="5297C19D" w14:textId="49032E6A" w:rsidR="00F81216" w:rsidRPr="00F81216" w:rsidRDefault="00F81216" w:rsidP="00F812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F81216">
              <w:rPr>
                <w:sz w:val="24"/>
                <w:szCs w:val="24"/>
                <w:lang w:val="en-US"/>
              </w:rPr>
              <w:t>What they fund</w:t>
            </w:r>
          </w:p>
        </w:tc>
        <w:tc>
          <w:tcPr>
            <w:tcW w:w="1845" w:type="dxa"/>
            <w:hideMark/>
          </w:tcPr>
          <w:p w14:paraId="22EB8691" w14:textId="0A776714" w:rsidR="00F81216" w:rsidRPr="00F81216" w:rsidRDefault="00F81216" w:rsidP="00F812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F81216">
              <w:rPr>
                <w:sz w:val="24"/>
                <w:szCs w:val="24"/>
                <w:lang w:val="en-US"/>
              </w:rPr>
              <w:t>Grant Size</w:t>
            </w:r>
            <w:r w:rsidRPr="00F81216">
              <w:rPr>
                <w:sz w:val="24"/>
                <w:szCs w:val="24"/>
              </w:rPr>
              <w:t> $</w:t>
            </w:r>
          </w:p>
        </w:tc>
        <w:tc>
          <w:tcPr>
            <w:tcW w:w="1200" w:type="dxa"/>
            <w:hideMark/>
          </w:tcPr>
          <w:p w14:paraId="40963D0C" w14:textId="1A187E57" w:rsidR="00F81216" w:rsidRPr="00F81216" w:rsidRDefault="00F81216" w:rsidP="00F812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F81216">
              <w:rPr>
                <w:sz w:val="24"/>
                <w:szCs w:val="24"/>
                <w:lang w:val="en-US"/>
              </w:rPr>
              <w:t>Open Dates</w:t>
            </w:r>
          </w:p>
        </w:tc>
        <w:tc>
          <w:tcPr>
            <w:tcW w:w="2055" w:type="dxa"/>
            <w:hideMark/>
          </w:tcPr>
          <w:p w14:paraId="5EB0BD10" w14:textId="240B97AC" w:rsidR="00F81216" w:rsidRPr="00F81216" w:rsidRDefault="00F81216" w:rsidP="00F812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F81216">
              <w:rPr>
                <w:sz w:val="24"/>
                <w:szCs w:val="24"/>
                <w:lang w:val="en-US"/>
              </w:rPr>
              <w:t>Closing</w:t>
            </w:r>
            <w:r>
              <w:rPr>
                <w:sz w:val="24"/>
                <w:szCs w:val="24"/>
                <w:lang w:val="en-US"/>
              </w:rPr>
              <w:t xml:space="preserve"> Dates</w:t>
            </w:r>
          </w:p>
        </w:tc>
        <w:tc>
          <w:tcPr>
            <w:tcW w:w="1995" w:type="dxa"/>
            <w:hideMark/>
          </w:tcPr>
          <w:p w14:paraId="0F1CC961" w14:textId="58DB3842" w:rsidR="00F81216" w:rsidRPr="00F81216" w:rsidRDefault="00F81216" w:rsidP="00F812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F81216">
              <w:rPr>
                <w:sz w:val="24"/>
                <w:szCs w:val="24"/>
                <w:lang w:val="en-US"/>
              </w:rPr>
              <w:t>Frequency &amp; Timing</w:t>
            </w:r>
          </w:p>
        </w:tc>
        <w:tc>
          <w:tcPr>
            <w:tcW w:w="2607" w:type="dxa"/>
            <w:hideMark/>
          </w:tcPr>
          <w:p w14:paraId="5E664E86" w14:textId="6D0A1FC7" w:rsidR="00F81216" w:rsidRPr="00F81216" w:rsidRDefault="00F81216" w:rsidP="00F812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F81216">
              <w:rPr>
                <w:sz w:val="24"/>
                <w:szCs w:val="24"/>
                <w:lang w:val="en-US"/>
              </w:rPr>
              <w:t>Key Notes</w:t>
            </w:r>
          </w:p>
        </w:tc>
      </w:tr>
      <w:tr w:rsidR="00F81216" w:rsidRPr="00254348" w14:paraId="12EE82FC" w14:textId="77777777" w:rsidTr="56580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</w:tcPr>
          <w:p w14:paraId="22B3B92F" w14:textId="792D1F51" w:rsidR="00F81216" w:rsidRPr="00397CD2" w:rsidRDefault="00397CD2" w:rsidP="00F81216">
            <w:pPr>
              <w:spacing w:after="240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e.g.</w:t>
            </w:r>
            <w:r w:rsidR="008E2A99">
              <w:rPr>
                <w:b w:val="0"/>
                <w:bCs w:val="0"/>
                <w:lang w:val="en-US"/>
              </w:rPr>
              <w:t xml:space="preserve"> Pub Charity</w:t>
            </w:r>
          </w:p>
        </w:tc>
        <w:tc>
          <w:tcPr>
            <w:tcW w:w="2650" w:type="dxa"/>
          </w:tcPr>
          <w:p w14:paraId="56866AA2" w14:textId="7C0F1AF1" w:rsidR="00F81216" w:rsidRPr="00254348" w:rsidRDefault="406D6E68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56580F55">
              <w:rPr>
                <w:lang w:val="en-US"/>
              </w:rPr>
              <w:t xml:space="preserve">Equipment, playing uniforms, coaching, tournaments, facility hire, venue costs, operational costs, salaries, capital projects, community sport </w:t>
            </w:r>
            <w:proofErr w:type="spellStart"/>
            <w:r w:rsidRPr="56580F55">
              <w:rPr>
                <w:lang w:val="en-US"/>
              </w:rPr>
              <w:t>programmes</w:t>
            </w:r>
            <w:proofErr w:type="spellEnd"/>
            <w:r w:rsidRPr="56580F55">
              <w:rPr>
                <w:lang w:val="en-US"/>
              </w:rPr>
              <w:t>. Funding generally must benefit the community where Pub Charity gaming venues are located.</w:t>
            </w:r>
          </w:p>
        </w:tc>
        <w:tc>
          <w:tcPr>
            <w:tcW w:w="1845" w:type="dxa"/>
          </w:tcPr>
          <w:p w14:paraId="7DB5AEAD" w14:textId="5C75BE9C" w:rsidR="00F81216" w:rsidRPr="00254348" w:rsidRDefault="406D6E68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56580F55">
              <w:rPr>
                <w:lang w:val="en-US"/>
              </w:rPr>
              <w:t>No minimum or maximum. Grants range from a few hundred dollars to well over $100,000 depending on available local funds and project size.</w:t>
            </w:r>
          </w:p>
        </w:tc>
        <w:tc>
          <w:tcPr>
            <w:tcW w:w="1200" w:type="dxa"/>
          </w:tcPr>
          <w:p w14:paraId="3DFB1D48" w14:textId="77D6C63E" w:rsidR="00F81216" w:rsidRPr="00254348" w:rsidRDefault="406D6E68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56580F55">
              <w:rPr>
                <w:lang w:val="en-US"/>
              </w:rPr>
              <w:t xml:space="preserve">Applications </w:t>
            </w:r>
            <w:proofErr w:type="gramStart"/>
            <w:r w:rsidRPr="56580F55">
              <w:rPr>
                <w:lang w:val="en-US"/>
              </w:rPr>
              <w:t>accepted</w:t>
            </w:r>
            <w:proofErr w:type="gramEnd"/>
            <w:r w:rsidRPr="56580F55">
              <w:rPr>
                <w:lang w:val="en-US"/>
              </w:rPr>
              <w:t xml:space="preserve"> year-round.</w:t>
            </w:r>
          </w:p>
        </w:tc>
        <w:tc>
          <w:tcPr>
            <w:tcW w:w="2055" w:type="dxa"/>
          </w:tcPr>
          <w:p w14:paraId="659F2580" w14:textId="4ED03D8A" w:rsidR="00F81216" w:rsidRPr="00254348" w:rsidRDefault="406D6E68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56580F55">
              <w:rPr>
                <w:lang w:val="en-US"/>
              </w:rPr>
              <w:t>Monthly cut-off dates (typically the first Monday of each month). 2026: 8 Jun, 6 Jul, 3 Aug, 7 Sep, 5 Oct, 9 Nov. No December round.</w:t>
            </w:r>
          </w:p>
        </w:tc>
        <w:tc>
          <w:tcPr>
            <w:tcW w:w="1995" w:type="dxa"/>
          </w:tcPr>
          <w:p w14:paraId="1DC6C706" w14:textId="7310DF60" w:rsidR="00F81216" w:rsidRPr="00254348" w:rsidRDefault="406D6E68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56580F55">
              <w:rPr>
                <w:lang w:val="en-US"/>
              </w:rPr>
              <w:t>11 funding rounds per year. Decisions generally made later that month.</w:t>
            </w:r>
          </w:p>
        </w:tc>
        <w:tc>
          <w:tcPr>
            <w:tcW w:w="2607" w:type="dxa"/>
          </w:tcPr>
          <w:p w14:paraId="1D824D94" w14:textId="525BA5AB" w:rsidR="00F81216" w:rsidRPr="00254348" w:rsidRDefault="406D6E68" w:rsidP="56580F55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56580F55">
              <w:rPr>
                <w:lang w:val="en-US"/>
              </w:rPr>
              <w:t>Funds generally stay within the area where gaming proceeds were raised.</w:t>
            </w:r>
            <w:r w:rsidR="00F81216">
              <w:br/>
            </w:r>
          </w:p>
          <w:p w14:paraId="6DCE004D" w14:textId="3897F5E6" w:rsidR="00F81216" w:rsidRPr="00254348" w:rsidRDefault="406D6E68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56580F55">
              <w:rPr>
                <w:lang w:val="en-US"/>
              </w:rPr>
              <w:t>Can apply for operating or capital costs.</w:t>
            </w:r>
          </w:p>
        </w:tc>
      </w:tr>
      <w:tr w:rsidR="00F81216" w:rsidRPr="00254348" w14:paraId="4ACC32B5" w14:textId="77777777" w:rsidTr="56580F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</w:tcPr>
          <w:p w14:paraId="2F09DA56" w14:textId="500DCBE9" w:rsidR="00F81216" w:rsidRPr="00254348" w:rsidRDefault="406D6E68" w:rsidP="56580F55">
            <w:pPr>
              <w:spacing w:after="240"/>
              <w:rPr>
                <w:b w:val="0"/>
                <w:bCs w:val="0"/>
                <w:lang w:val="en-US"/>
              </w:rPr>
            </w:pPr>
            <w:r w:rsidRPr="56580F55">
              <w:rPr>
                <w:b w:val="0"/>
                <w:bCs w:val="0"/>
                <w:lang w:val="en-US"/>
              </w:rPr>
              <w:t>e.g. New Zealand Community Trust (NZCT)</w:t>
            </w:r>
          </w:p>
        </w:tc>
        <w:tc>
          <w:tcPr>
            <w:tcW w:w="2650" w:type="dxa"/>
          </w:tcPr>
          <w:p w14:paraId="1D098E20" w14:textId="29B5ADD8" w:rsidR="00F81216" w:rsidRPr="00254348" w:rsidRDefault="406D6E68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56580F55">
              <w:rPr>
                <w:lang w:val="en-US"/>
              </w:rPr>
              <w:t xml:space="preserve">Amateur sport equipment, uniforms, coaching, salaries, tournament travel &amp; accommodation (NZ), facility maintenance, first aid equipment, sport development </w:t>
            </w:r>
            <w:proofErr w:type="spellStart"/>
            <w:r w:rsidRPr="56580F55">
              <w:rPr>
                <w:lang w:val="en-US"/>
              </w:rPr>
              <w:t>programmes</w:t>
            </w:r>
            <w:proofErr w:type="spellEnd"/>
            <w:r w:rsidRPr="56580F55">
              <w:rPr>
                <w:lang w:val="en-US"/>
              </w:rPr>
              <w:t>, operational costs and capital works.</w:t>
            </w:r>
          </w:p>
        </w:tc>
        <w:tc>
          <w:tcPr>
            <w:tcW w:w="1845" w:type="dxa"/>
          </w:tcPr>
          <w:p w14:paraId="129E31A7" w14:textId="2CA6FBA7" w:rsidR="00F81216" w:rsidRPr="00254348" w:rsidRDefault="406D6E68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56580F55">
              <w:rPr>
                <w:lang w:val="en-US"/>
              </w:rPr>
              <w:t>Common grants range from approximately $2,000–$125,000+ depending on the project.</w:t>
            </w:r>
          </w:p>
        </w:tc>
        <w:tc>
          <w:tcPr>
            <w:tcW w:w="1200" w:type="dxa"/>
          </w:tcPr>
          <w:p w14:paraId="59E386D8" w14:textId="0EED05F9" w:rsidR="00F81216" w:rsidRPr="00254348" w:rsidRDefault="406D6E68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56580F55">
              <w:rPr>
                <w:lang w:val="en-US"/>
              </w:rPr>
              <w:t xml:space="preserve">Applications accepted year-round.  </w:t>
            </w:r>
          </w:p>
        </w:tc>
        <w:tc>
          <w:tcPr>
            <w:tcW w:w="2055" w:type="dxa"/>
          </w:tcPr>
          <w:p w14:paraId="08B8E8A2" w14:textId="07582AAA" w:rsidR="00F81216" w:rsidRPr="00254348" w:rsidRDefault="406D6E68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56580F55">
              <w:rPr>
                <w:lang w:val="en-US"/>
              </w:rPr>
              <w:t>No closing dates. Applications are accepted at any time.</w:t>
            </w:r>
          </w:p>
        </w:tc>
        <w:tc>
          <w:tcPr>
            <w:tcW w:w="1995" w:type="dxa"/>
          </w:tcPr>
          <w:p w14:paraId="6B818682" w14:textId="2BADC87C" w:rsidR="00F81216" w:rsidRPr="00254348" w:rsidRDefault="406D6E68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56580F55">
              <w:rPr>
                <w:lang w:val="en-US"/>
              </w:rPr>
              <w:t>Applications are assessed continuously. Decisions are usually within 4–9 weeks. NPC committees meet fortnightly for smaller grants.</w:t>
            </w:r>
          </w:p>
        </w:tc>
        <w:tc>
          <w:tcPr>
            <w:tcW w:w="2607" w:type="dxa"/>
          </w:tcPr>
          <w:p w14:paraId="5F576A03" w14:textId="4753C390" w:rsidR="00F81216" w:rsidRPr="00254348" w:rsidRDefault="406D6E68" w:rsidP="56580F55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56580F55">
              <w:rPr>
                <w:lang w:val="en-US"/>
              </w:rPr>
              <w:t>One of NZ's largest sports funders.</w:t>
            </w:r>
            <w:r w:rsidR="00F81216">
              <w:br/>
            </w:r>
          </w:p>
          <w:p w14:paraId="6312296D" w14:textId="4FEB8E10" w:rsidR="00F81216" w:rsidRPr="00254348" w:rsidRDefault="406D6E68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56580F55">
              <w:rPr>
                <w:lang w:val="en-US"/>
              </w:rPr>
              <w:t>Good for both operational and capital funding.</w:t>
            </w:r>
          </w:p>
        </w:tc>
      </w:tr>
      <w:tr w:rsidR="00F81216" w:rsidRPr="00254348" w14:paraId="58137368" w14:textId="77777777" w:rsidTr="56580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</w:tcPr>
          <w:p w14:paraId="51467341" w14:textId="214D9391" w:rsidR="00F81216" w:rsidRPr="00254348" w:rsidRDefault="406D6E68" w:rsidP="00F81216">
            <w:pPr>
              <w:spacing w:after="240"/>
              <w:rPr>
                <w:b w:val="0"/>
                <w:bCs w:val="0"/>
                <w:lang w:val="en-US"/>
              </w:rPr>
            </w:pPr>
            <w:r w:rsidRPr="56580F55">
              <w:rPr>
                <w:b w:val="0"/>
                <w:bCs w:val="0"/>
                <w:lang w:val="en-US"/>
              </w:rPr>
              <w:t>e.g. Lion Foundation</w:t>
            </w:r>
          </w:p>
        </w:tc>
        <w:tc>
          <w:tcPr>
            <w:tcW w:w="2650" w:type="dxa"/>
          </w:tcPr>
          <w:p w14:paraId="6EF122EB" w14:textId="083857F9" w:rsidR="00F81216" w:rsidRPr="00254348" w:rsidRDefault="406D6E68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56580F55">
              <w:rPr>
                <w:lang w:val="en-US"/>
              </w:rPr>
              <w:t xml:space="preserve">Playing uniforms, sports equipment, coaching, salaries, community sport </w:t>
            </w:r>
            <w:proofErr w:type="spellStart"/>
            <w:r w:rsidRPr="56580F55">
              <w:rPr>
                <w:lang w:val="en-US"/>
              </w:rPr>
              <w:t>programmes</w:t>
            </w:r>
            <w:proofErr w:type="spellEnd"/>
            <w:r w:rsidRPr="56580F55">
              <w:rPr>
                <w:lang w:val="en-US"/>
              </w:rPr>
              <w:t>, facility improvements, tournaments, volunteer training, capital purchases and operating expenses.</w:t>
            </w:r>
          </w:p>
        </w:tc>
        <w:tc>
          <w:tcPr>
            <w:tcW w:w="1845" w:type="dxa"/>
          </w:tcPr>
          <w:p w14:paraId="33D5909A" w14:textId="2302C96A" w:rsidR="00F81216" w:rsidRPr="00254348" w:rsidRDefault="406D6E68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56580F55">
              <w:rPr>
                <w:lang w:val="en-US"/>
              </w:rPr>
              <w:t>Grants commonly range from several thousand dollars to $100,000+.</w:t>
            </w:r>
          </w:p>
        </w:tc>
        <w:tc>
          <w:tcPr>
            <w:tcW w:w="1200" w:type="dxa"/>
          </w:tcPr>
          <w:p w14:paraId="231927E8" w14:textId="76BF8712" w:rsidR="00F81216" w:rsidRPr="00254348" w:rsidRDefault="406D6E68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56580F55">
              <w:rPr>
                <w:lang w:val="en-US"/>
              </w:rPr>
              <w:t xml:space="preserve">Applications accepted year-round.  </w:t>
            </w:r>
          </w:p>
        </w:tc>
        <w:tc>
          <w:tcPr>
            <w:tcW w:w="2055" w:type="dxa"/>
          </w:tcPr>
          <w:p w14:paraId="171CBF75" w14:textId="092DD756" w:rsidR="00F81216" w:rsidRPr="00254348" w:rsidRDefault="406D6E68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56580F55">
              <w:rPr>
                <w:lang w:val="en-US"/>
              </w:rPr>
              <w:t>No formal closing dates.</w:t>
            </w:r>
          </w:p>
        </w:tc>
        <w:tc>
          <w:tcPr>
            <w:tcW w:w="1995" w:type="dxa"/>
          </w:tcPr>
          <w:p w14:paraId="538FFD51" w14:textId="63960BC8" w:rsidR="00F81216" w:rsidRPr="00254348" w:rsidRDefault="406D6E68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56580F55">
              <w:rPr>
                <w:lang w:val="en-US"/>
              </w:rPr>
              <w:t>Applications are processed throughout the year. Allow approximately 8–10 weeks for a decision.</w:t>
            </w:r>
          </w:p>
        </w:tc>
        <w:tc>
          <w:tcPr>
            <w:tcW w:w="2607" w:type="dxa"/>
          </w:tcPr>
          <w:p w14:paraId="55F5F70C" w14:textId="631548CF" w:rsidR="00F81216" w:rsidRPr="00254348" w:rsidRDefault="406D6E68" w:rsidP="56580F55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56580F55">
              <w:rPr>
                <w:rFonts w:ascii="Tw Cen MT" w:eastAsia="Tw Cen MT" w:hAnsi="Tw Cen MT" w:cs="Tw Cen MT"/>
                <w:lang w:val="en-US"/>
              </w:rPr>
              <w:t xml:space="preserve">Only one application </w:t>
            </w:r>
            <w:proofErr w:type="gramStart"/>
            <w:r w:rsidRPr="56580F55">
              <w:rPr>
                <w:rFonts w:ascii="Tw Cen MT" w:eastAsia="Tw Cen MT" w:hAnsi="Tw Cen MT" w:cs="Tw Cen MT"/>
                <w:lang w:val="en-US"/>
              </w:rPr>
              <w:t>generally</w:t>
            </w:r>
            <w:proofErr w:type="gramEnd"/>
            <w:r w:rsidRPr="56580F55">
              <w:rPr>
                <w:rFonts w:ascii="Tw Cen MT" w:eastAsia="Tw Cen MT" w:hAnsi="Tw Cen MT" w:cs="Tw Cen MT"/>
                <w:lang w:val="en-US"/>
              </w:rPr>
              <w:t xml:space="preserve"> active at any one time</w:t>
            </w:r>
          </w:p>
        </w:tc>
      </w:tr>
      <w:tr w:rsidR="00F81216" w:rsidRPr="00254348" w14:paraId="759F454F" w14:textId="77777777" w:rsidTr="56580F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</w:tcPr>
          <w:p w14:paraId="3C2DE650" w14:textId="443D61F1" w:rsidR="00F81216" w:rsidRPr="00254348" w:rsidRDefault="406D6E68" w:rsidP="56580F55">
            <w:pPr>
              <w:spacing w:after="240"/>
              <w:rPr>
                <w:b w:val="0"/>
                <w:bCs w:val="0"/>
                <w:lang w:val="en-US"/>
              </w:rPr>
            </w:pPr>
            <w:r w:rsidRPr="56580F55">
              <w:rPr>
                <w:b w:val="0"/>
                <w:bCs w:val="0"/>
                <w:lang w:val="en-US"/>
              </w:rPr>
              <w:t>e.g. Four Winds</w:t>
            </w:r>
          </w:p>
          <w:p w14:paraId="3DF3CE67" w14:textId="10728CF1" w:rsidR="00F81216" w:rsidRPr="00254348" w:rsidRDefault="00F81216" w:rsidP="00F81216">
            <w:pPr>
              <w:spacing w:after="240"/>
              <w:rPr>
                <w:lang w:val="en-US"/>
              </w:rPr>
            </w:pPr>
          </w:p>
        </w:tc>
        <w:tc>
          <w:tcPr>
            <w:tcW w:w="2650" w:type="dxa"/>
          </w:tcPr>
          <w:p w14:paraId="7B4BC8F1" w14:textId="7BC4E0DB" w:rsidR="00F81216" w:rsidRPr="00254348" w:rsidRDefault="406D6E68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56580F55">
              <w:rPr>
                <w:lang w:val="en-US"/>
              </w:rPr>
              <w:t xml:space="preserve">Playing uniforms, equipment, coaching, venue hire, facility costs, salaries (generally up to 3 months), tournaments, community sport </w:t>
            </w:r>
            <w:proofErr w:type="spellStart"/>
            <w:r w:rsidRPr="56580F55">
              <w:rPr>
                <w:lang w:val="en-US"/>
              </w:rPr>
              <w:t>programmes</w:t>
            </w:r>
            <w:proofErr w:type="spellEnd"/>
            <w:r w:rsidRPr="56580F55">
              <w:rPr>
                <w:lang w:val="en-US"/>
              </w:rPr>
              <w:t xml:space="preserve"> and approved capital items. Does not fund after-match apparel, food, alcohol or supporter travel.</w:t>
            </w:r>
          </w:p>
        </w:tc>
        <w:tc>
          <w:tcPr>
            <w:tcW w:w="1845" w:type="dxa"/>
          </w:tcPr>
          <w:p w14:paraId="2568B379" w14:textId="5B071A38" w:rsidR="00F81216" w:rsidRPr="00254348" w:rsidRDefault="406D6E68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56580F55">
              <w:rPr>
                <w:lang w:val="en-US"/>
              </w:rPr>
              <w:t>Grants commonly range from a few thousand dollars to major capital grants.</w:t>
            </w:r>
          </w:p>
        </w:tc>
        <w:tc>
          <w:tcPr>
            <w:tcW w:w="1200" w:type="dxa"/>
          </w:tcPr>
          <w:p w14:paraId="3CB9EE6B" w14:textId="2FAFB86B" w:rsidR="00F81216" w:rsidRPr="00254348" w:rsidRDefault="406D6E68" w:rsidP="56580F55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56580F55">
              <w:rPr>
                <w:lang w:val="en-US"/>
              </w:rPr>
              <w:t xml:space="preserve">Applications </w:t>
            </w:r>
            <w:proofErr w:type="gramStart"/>
            <w:r w:rsidRPr="56580F55">
              <w:rPr>
                <w:lang w:val="en-US"/>
              </w:rPr>
              <w:t>accepted</w:t>
            </w:r>
            <w:proofErr w:type="gramEnd"/>
            <w:r w:rsidRPr="56580F55">
              <w:rPr>
                <w:lang w:val="en-US"/>
              </w:rPr>
              <w:t xml:space="preserve"> year-round.</w:t>
            </w:r>
          </w:p>
        </w:tc>
        <w:tc>
          <w:tcPr>
            <w:tcW w:w="2055" w:type="dxa"/>
          </w:tcPr>
          <w:p w14:paraId="43FC40F5" w14:textId="0912321D" w:rsidR="00F81216" w:rsidRPr="00254348" w:rsidRDefault="406D6E68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56580F55">
              <w:rPr>
                <w:lang w:val="en-US"/>
              </w:rPr>
              <w:t>25th of every month.</w:t>
            </w:r>
          </w:p>
        </w:tc>
        <w:tc>
          <w:tcPr>
            <w:tcW w:w="1995" w:type="dxa"/>
          </w:tcPr>
          <w:p w14:paraId="350D726F" w14:textId="7E295123" w:rsidR="00F81216" w:rsidRPr="00254348" w:rsidRDefault="406D6E68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56580F55">
              <w:rPr>
                <w:lang w:val="en-US"/>
              </w:rPr>
              <w:t>Monthly funding rounds. Applications received by the 25th are considered the following month.</w:t>
            </w:r>
          </w:p>
        </w:tc>
        <w:tc>
          <w:tcPr>
            <w:tcW w:w="2607" w:type="dxa"/>
          </w:tcPr>
          <w:p w14:paraId="78CD3719" w14:textId="6D86F625" w:rsidR="00F81216" w:rsidRPr="00254348" w:rsidRDefault="406D6E68" w:rsidP="56580F55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56580F55">
              <w:rPr>
                <w:lang w:val="en-US"/>
              </w:rPr>
              <w:t>Maximum 4 applications per financial year (1 April–31 March).</w:t>
            </w:r>
            <w:r w:rsidR="00F81216">
              <w:br/>
            </w:r>
            <w:r w:rsidRPr="56580F55">
              <w:rPr>
                <w:lang w:val="en-US"/>
              </w:rPr>
              <w:t>Maximum one application considered per month.</w:t>
            </w:r>
          </w:p>
          <w:p w14:paraId="5FEBD6E0" w14:textId="4CE221A5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br/>
            </w:r>
            <w:r w:rsidR="406D6E68" w:rsidRPr="56580F55">
              <w:rPr>
                <w:lang w:val="en-US"/>
              </w:rPr>
              <w:t xml:space="preserve">Must be an incorporated not-for-profit </w:t>
            </w:r>
            <w:proofErr w:type="spellStart"/>
            <w:r w:rsidR="406D6E68" w:rsidRPr="56580F55">
              <w:rPr>
                <w:lang w:val="en-US"/>
              </w:rPr>
              <w:t>organisation</w:t>
            </w:r>
            <w:proofErr w:type="spellEnd"/>
            <w:r w:rsidR="406D6E68" w:rsidRPr="56580F55">
              <w:rPr>
                <w:lang w:val="en-US"/>
              </w:rPr>
              <w:t>.</w:t>
            </w:r>
          </w:p>
        </w:tc>
      </w:tr>
      <w:tr w:rsidR="00F81216" w:rsidRPr="00254348" w14:paraId="004D2BF2" w14:textId="77777777" w:rsidTr="56580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</w:tcPr>
          <w:p w14:paraId="48565B6B" w14:textId="283A8A16" w:rsidR="00F81216" w:rsidRPr="0020337B" w:rsidRDefault="0020337B" w:rsidP="00F81216">
            <w:pPr>
              <w:spacing w:after="240"/>
              <w:rPr>
                <w:b w:val="0"/>
                <w:bCs w:val="0"/>
                <w:lang w:val="en-US"/>
              </w:rPr>
            </w:pPr>
            <w:r w:rsidRPr="0020337B">
              <w:rPr>
                <w:b w:val="0"/>
                <w:bCs w:val="0"/>
                <w:lang w:val="en-US"/>
              </w:rPr>
              <w:lastRenderedPageBreak/>
              <w:t>Continue here</w:t>
            </w:r>
            <w:r w:rsidR="001D7D32">
              <w:rPr>
                <w:b w:val="0"/>
                <w:bCs w:val="0"/>
                <w:lang w:val="en-US"/>
              </w:rPr>
              <w:t>…..</w:t>
            </w:r>
          </w:p>
        </w:tc>
        <w:tc>
          <w:tcPr>
            <w:tcW w:w="2650" w:type="dxa"/>
          </w:tcPr>
          <w:p w14:paraId="31F4D05B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45" w:type="dxa"/>
          </w:tcPr>
          <w:p w14:paraId="17EA0D80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00" w:type="dxa"/>
          </w:tcPr>
          <w:p w14:paraId="0914A432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055" w:type="dxa"/>
          </w:tcPr>
          <w:p w14:paraId="77EBCA95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995" w:type="dxa"/>
          </w:tcPr>
          <w:p w14:paraId="26601B6D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607" w:type="dxa"/>
          </w:tcPr>
          <w:p w14:paraId="5008E52F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81216" w:rsidRPr="00254348" w14:paraId="4190BC64" w14:textId="77777777" w:rsidTr="56580F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</w:tcPr>
          <w:p w14:paraId="452AC727" w14:textId="77777777" w:rsidR="00F81216" w:rsidRPr="00254348" w:rsidRDefault="00F81216" w:rsidP="00F81216">
            <w:pPr>
              <w:spacing w:after="240"/>
              <w:rPr>
                <w:lang w:val="en-US"/>
              </w:rPr>
            </w:pPr>
          </w:p>
        </w:tc>
        <w:tc>
          <w:tcPr>
            <w:tcW w:w="2650" w:type="dxa"/>
          </w:tcPr>
          <w:p w14:paraId="1294551C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45" w:type="dxa"/>
          </w:tcPr>
          <w:p w14:paraId="5F91D508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00" w:type="dxa"/>
          </w:tcPr>
          <w:p w14:paraId="78A68725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055" w:type="dxa"/>
          </w:tcPr>
          <w:p w14:paraId="279B7E38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995" w:type="dxa"/>
          </w:tcPr>
          <w:p w14:paraId="7DA8ACF0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607" w:type="dxa"/>
          </w:tcPr>
          <w:p w14:paraId="4AFF5C9C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81216" w:rsidRPr="00254348" w14:paraId="5ADB9E16" w14:textId="77777777" w:rsidTr="56580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</w:tcPr>
          <w:p w14:paraId="485F755C" w14:textId="77777777" w:rsidR="00F81216" w:rsidRPr="00254348" w:rsidRDefault="00F81216" w:rsidP="00F81216">
            <w:pPr>
              <w:spacing w:after="240"/>
              <w:rPr>
                <w:lang w:val="en-US"/>
              </w:rPr>
            </w:pPr>
          </w:p>
        </w:tc>
        <w:tc>
          <w:tcPr>
            <w:tcW w:w="2650" w:type="dxa"/>
          </w:tcPr>
          <w:p w14:paraId="00BCBF55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45" w:type="dxa"/>
          </w:tcPr>
          <w:p w14:paraId="6404D85F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00" w:type="dxa"/>
          </w:tcPr>
          <w:p w14:paraId="28EDB312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055" w:type="dxa"/>
          </w:tcPr>
          <w:p w14:paraId="41FB7076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995" w:type="dxa"/>
          </w:tcPr>
          <w:p w14:paraId="7E5C1FFB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607" w:type="dxa"/>
          </w:tcPr>
          <w:p w14:paraId="2F43E602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81216" w:rsidRPr="00254348" w14:paraId="72ABBCF7" w14:textId="77777777" w:rsidTr="56580F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</w:tcPr>
          <w:p w14:paraId="1A11AF78" w14:textId="77777777" w:rsidR="00F81216" w:rsidRPr="00254348" w:rsidRDefault="00F81216" w:rsidP="00F81216">
            <w:pPr>
              <w:spacing w:after="240"/>
              <w:rPr>
                <w:lang w:val="en-US"/>
              </w:rPr>
            </w:pPr>
          </w:p>
        </w:tc>
        <w:tc>
          <w:tcPr>
            <w:tcW w:w="2650" w:type="dxa"/>
          </w:tcPr>
          <w:p w14:paraId="1CFC1EEB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45" w:type="dxa"/>
          </w:tcPr>
          <w:p w14:paraId="0F3AD08D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00" w:type="dxa"/>
          </w:tcPr>
          <w:p w14:paraId="5E5F6705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055" w:type="dxa"/>
          </w:tcPr>
          <w:p w14:paraId="0D0014B2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995" w:type="dxa"/>
          </w:tcPr>
          <w:p w14:paraId="7E7CC161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607" w:type="dxa"/>
          </w:tcPr>
          <w:p w14:paraId="13139E47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81216" w:rsidRPr="00254348" w14:paraId="3F2B49D3" w14:textId="77777777" w:rsidTr="56580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</w:tcPr>
          <w:p w14:paraId="703095EC" w14:textId="77777777" w:rsidR="00F81216" w:rsidRPr="00254348" w:rsidRDefault="00F81216" w:rsidP="00F81216">
            <w:pPr>
              <w:spacing w:after="240"/>
              <w:rPr>
                <w:lang w:val="en-US"/>
              </w:rPr>
            </w:pPr>
          </w:p>
        </w:tc>
        <w:tc>
          <w:tcPr>
            <w:tcW w:w="2650" w:type="dxa"/>
          </w:tcPr>
          <w:p w14:paraId="45B9F156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45" w:type="dxa"/>
          </w:tcPr>
          <w:p w14:paraId="096C4045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00" w:type="dxa"/>
          </w:tcPr>
          <w:p w14:paraId="18EA4A3F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055" w:type="dxa"/>
          </w:tcPr>
          <w:p w14:paraId="6F2F08AF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995" w:type="dxa"/>
          </w:tcPr>
          <w:p w14:paraId="445D0794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607" w:type="dxa"/>
          </w:tcPr>
          <w:p w14:paraId="3FF899A6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81216" w:rsidRPr="00254348" w14:paraId="22F6FEAF" w14:textId="77777777" w:rsidTr="56580F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</w:tcPr>
          <w:p w14:paraId="1A2D103D" w14:textId="77777777" w:rsidR="00F81216" w:rsidRPr="00254348" w:rsidRDefault="00F81216" w:rsidP="00F81216">
            <w:pPr>
              <w:spacing w:after="240"/>
              <w:rPr>
                <w:lang w:val="en-US"/>
              </w:rPr>
            </w:pPr>
          </w:p>
        </w:tc>
        <w:tc>
          <w:tcPr>
            <w:tcW w:w="2650" w:type="dxa"/>
          </w:tcPr>
          <w:p w14:paraId="739A1997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45" w:type="dxa"/>
          </w:tcPr>
          <w:p w14:paraId="79D4A113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00" w:type="dxa"/>
          </w:tcPr>
          <w:p w14:paraId="6D345368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055" w:type="dxa"/>
          </w:tcPr>
          <w:p w14:paraId="0B70A037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995" w:type="dxa"/>
          </w:tcPr>
          <w:p w14:paraId="0F470498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607" w:type="dxa"/>
          </w:tcPr>
          <w:p w14:paraId="3287E8B4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81216" w:rsidRPr="00254348" w14:paraId="26F6D568" w14:textId="77777777" w:rsidTr="56580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</w:tcPr>
          <w:p w14:paraId="4372FFB2" w14:textId="77777777" w:rsidR="00F81216" w:rsidRPr="00254348" w:rsidRDefault="00F81216" w:rsidP="00F81216">
            <w:pPr>
              <w:spacing w:after="240"/>
              <w:rPr>
                <w:lang w:val="en-US"/>
              </w:rPr>
            </w:pPr>
          </w:p>
        </w:tc>
        <w:tc>
          <w:tcPr>
            <w:tcW w:w="2650" w:type="dxa"/>
          </w:tcPr>
          <w:p w14:paraId="739983C6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45" w:type="dxa"/>
          </w:tcPr>
          <w:p w14:paraId="63613199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00" w:type="dxa"/>
          </w:tcPr>
          <w:p w14:paraId="22B89F5D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055" w:type="dxa"/>
          </w:tcPr>
          <w:p w14:paraId="1FC67207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995" w:type="dxa"/>
          </w:tcPr>
          <w:p w14:paraId="7E463F4F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607" w:type="dxa"/>
          </w:tcPr>
          <w:p w14:paraId="67F7C2BE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81216" w:rsidRPr="00254348" w14:paraId="3B07C40D" w14:textId="77777777" w:rsidTr="56580F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</w:tcPr>
          <w:p w14:paraId="2F6B9B0E" w14:textId="77777777" w:rsidR="00F81216" w:rsidRPr="00254348" w:rsidRDefault="00F81216" w:rsidP="00F81216">
            <w:pPr>
              <w:spacing w:after="240"/>
              <w:rPr>
                <w:lang w:val="en-US"/>
              </w:rPr>
            </w:pPr>
          </w:p>
        </w:tc>
        <w:tc>
          <w:tcPr>
            <w:tcW w:w="2650" w:type="dxa"/>
          </w:tcPr>
          <w:p w14:paraId="770BEE92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45" w:type="dxa"/>
          </w:tcPr>
          <w:p w14:paraId="1FCC5A77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00" w:type="dxa"/>
          </w:tcPr>
          <w:p w14:paraId="7DB751C8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055" w:type="dxa"/>
          </w:tcPr>
          <w:p w14:paraId="7CC95B97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995" w:type="dxa"/>
          </w:tcPr>
          <w:p w14:paraId="47A40767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607" w:type="dxa"/>
          </w:tcPr>
          <w:p w14:paraId="7ABCE0C4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6F969641" w14:textId="77777777" w:rsidR="00A44276" w:rsidRDefault="00A44276" w:rsidP="00F81216"/>
    <w:sectPr w:rsidR="00A44276" w:rsidSect="0017108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55380" w14:textId="77777777" w:rsidR="001430F6" w:rsidRDefault="001430F6" w:rsidP="00F91F13">
      <w:pPr>
        <w:spacing w:before="0" w:after="0" w:line="240" w:lineRule="auto"/>
      </w:pPr>
      <w:r>
        <w:separator/>
      </w:r>
    </w:p>
  </w:endnote>
  <w:endnote w:type="continuationSeparator" w:id="0">
    <w:p w14:paraId="2F4AC9F4" w14:textId="77777777" w:rsidR="001430F6" w:rsidRDefault="001430F6" w:rsidP="00F91F1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TFangsong">
    <w:altName w:val="华文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E967C" w14:textId="77777777" w:rsidR="001430F6" w:rsidRDefault="001430F6" w:rsidP="00F91F13">
      <w:pPr>
        <w:spacing w:before="0" w:after="0" w:line="240" w:lineRule="auto"/>
      </w:pPr>
      <w:r>
        <w:separator/>
      </w:r>
    </w:p>
  </w:footnote>
  <w:footnote w:type="continuationSeparator" w:id="0">
    <w:p w14:paraId="476439EA" w14:textId="77777777" w:rsidR="001430F6" w:rsidRDefault="001430F6" w:rsidP="00F91F13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348"/>
    <w:rsid w:val="00103265"/>
    <w:rsid w:val="001430F6"/>
    <w:rsid w:val="00171081"/>
    <w:rsid w:val="001D7D32"/>
    <w:rsid w:val="0020337B"/>
    <w:rsid w:val="00254348"/>
    <w:rsid w:val="002727A8"/>
    <w:rsid w:val="00283045"/>
    <w:rsid w:val="00397CD2"/>
    <w:rsid w:val="00534C9B"/>
    <w:rsid w:val="006D1EC6"/>
    <w:rsid w:val="0077032D"/>
    <w:rsid w:val="008E2A99"/>
    <w:rsid w:val="00A44276"/>
    <w:rsid w:val="00A45D11"/>
    <w:rsid w:val="00A86D2D"/>
    <w:rsid w:val="00AB7A5D"/>
    <w:rsid w:val="00DA1A35"/>
    <w:rsid w:val="00E04DCE"/>
    <w:rsid w:val="00F81216"/>
    <w:rsid w:val="00F91F13"/>
    <w:rsid w:val="027516E9"/>
    <w:rsid w:val="1A51DC3C"/>
    <w:rsid w:val="27345490"/>
    <w:rsid w:val="317F37B9"/>
    <w:rsid w:val="406D6E68"/>
    <w:rsid w:val="4B0CAD88"/>
    <w:rsid w:val="4CD83ADF"/>
    <w:rsid w:val="56580F55"/>
    <w:rsid w:val="58B77F8F"/>
    <w:rsid w:val="5DB46F5C"/>
    <w:rsid w:val="792F9934"/>
    <w:rsid w:val="7BEF40F8"/>
    <w:rsid w:val="7FF5A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1E0702"/>
  <w15:chartTrackingRefBased/>
  <w15:docId w15:val="{2011AF87-14A0-4462-B5B4-8B30EF46E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NZ" w:eastAsia="zh-CN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F13"/>
  </w:style>
  <w:style w:type="paragraph" w:styleId="Heading1">
    <w:name w:val="heading 1"/>
    <w:basedOn w:val="Normal"/>
    <w:next w:val="Normal"/>
    <w:link w:val="Heading1Char"/>
    <w:uiPriority w:val="9"/>
    <w:qFormat/>
    <w:rsid w:val="00F91F13"/>
    <w:pPr>
      <w:pBdr>
        <w:top w:val="single" w:sz="24" w:space="0" w:color="1CADE4" w:themeColor="accent1"/>
        <w:left w:val="single" w:sz="24" w:space="0" w:color="1CADE4" w:themeColor="accent1"/>
        <w:bottom w:val="single" w:sz="24" w:space="0" w:color="1CADE4" w:themeColor="accent1"/>
        <w:right w:val="single" w:sz="24" w:space="0" w:color="1CADE4" w:themeColor="accent1"/>
      </w:pBdr>
      <w:shd w:val="clear" w:color="auto" w:fill="1CADE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F13"/>
    <w:pPr>
      <w:pBdr>
        <w:top w:val="single" w:sz="24" w:space="0" w:color="D1EEF9" w:themeColor="accent1" w:themeTint="33"/>
        <w:left w:val="single" w:sz="24" w:space="0" w:color="D1EEF9" w:themeColor="accent1" w:themeTint="33"/>
        <w:bottom w:val="single" w:sz="24" w:space="0" w:color="D1EEF9" w:themeColor="accent1" w:themeTint="33"/>
        <w:right w:val="single" w:sz="24" w:space="0" w:color="D1EEF9" w:themeColor="accent1" w:themeTint="33"/>
      </w:pBdr>
      <w:shd w:val="clear" w:color="auto" w:fill="D1EEF9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F13"/>
    <w:pPr>
      <w:pBdr>
        <w:top w:val="single" w:sz="6" w:space="2" w:color="1CADE4" w:themeColor="accent1"/>
      </w:pBdr>
      <w:spacing w:before="300" w:after="0"/>
      <w:outlineLvl w:val="2"/>
    </w:pPr>
    <w:rPr>
      <w:caps/>
      <w:color w:val="0D5571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F13"/>
    <w:pPr>
      <w:pBdr>
        <w:top w:val="dotted" w:sz="6" w:space="2" w:color="1CADE4" w:themeColor="accent1"/>
      </w:pBdr>
      <w:spacing w:before="200" w:after="0"/>
      <w:outlineLvl w:val="3"/>
    </w:pPr>
    <w:rPr>
      <w:caps/>
      <w:color w:val="1481AB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F13"/>
    <w:pPr>
      <w:pBdr>
        <w:bottom w:val="single" w:sz="6" w:space="1" w:color="1CADE4" w:themeColor="accent1"/>
      </w:pBdr>
      <w:spacing w:before="200" w:after="0"/>
      <w:outlineLvl w:val="4"/>
    </w:pPr>
    <w:rPr>
      <w:caps/>
      <w:color w:val="1481AB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F13"/>
    <w:pPr>
      <w:pBdr>
        <w:bottom w:val="dotted" w:sz="6" w:space="1" w:color="1CADE4" w:themeColor="accent1"/>
      </w:pBdr>
      <w:spacing w:before="200" w:after="0"/>
      <w:outlineLvl w:val="5"/>
    </w:pPr>
    <w:rPr>
      <w:caps/>
      <w:color w:val="1481AB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F13"/>
    <w:pPr>
      <w:spacing w:before="200" w:after="0"/>
      <w:outlineLvl w:val="6"/>
    </w:pPr>
    <w:rPr>
      <w:caps/>
      <w:color w:val="1481AB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F1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F1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F13"/>
    <w:rPr>
      <w:caps/>
      <w:color w:val="FFFFFF" w:themeColor="background1"/>
      <w:spacing w:val="15"/>
      <w:sz w:val="22"/>
      <w:szCs w:val="22"/>
      <w:shd w:val="clear" w:color="auto" w:fill="1CADE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F13"/>
    <w:rPr>
      <w:caps/>
      <w:spacing w:val="15"/>
      <w:shd w:val="clear" w:color="auto" w:fill="D1EEF9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F13"/>
    <w:rPr>
      <w:caps/>
      <w:color w:val="0D5571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F13"/>
    <w:rPr>
      <w:caps/>
      <w:color w:val="1481AB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F13"/>
    <w:rPr>
      <w:caps/>
      <w:color w:val="1481AB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F13"/>
    <w:rPr>
      <w:caps/>
      <w:color w:val="1481AB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F13"/>
    <w:rPr>
      <w:caps/>
      <w:color w:val="1481AB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F13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F13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91F13"/>
    <w:pPr>
      <w:spacing w:before="0" w:after="0"/>
    </w:pPr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91F13"/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F1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F91F13"/>
    <w:rPr>
      <w:caps/>
      <w:color w:val="595959" w:themeColor="text1" w:themeTint="A6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F91F13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91F13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254348"/>
    <w:pPr>
      <w:ind w:left="720"/>
      <w:contextualSpacing/>
    </w:pPr>
    <w:rPr>
      <w:rFonts w:cs="Cordia New"/>
      <w:szCs w:val="25"/>
    </w:rPr>
  </w:style>
  <w:style w:type="character" w:styleId="IntenseEmphasis">
    <w:name w:val="Intense Emphasis"/>
    <w:uiPriority w:val="21"/>
    <w:qFormat/>
    <w:rsid w:val="00F91F13"/>
    <w:rPr>
      <w:b/>
      <w:bCs/>
      <w:caps/>
      <w:color w:val="0D5571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F13"/>
    <w:pPr>
      <w:spacing w:before="240" w:after="240" w:line="240" w:lineRule="auto"/>
      <w:ind w:left="1080" w:right="1080"/>
      <w:jc w:val="center"/>
    </w:pPr>
    <w:rPr>
      <w:color w:val="1CADE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F13"/>
    <w:rPr>
      <w:color w:val="1CADE4" w:themeColor="accent1"/>
      <w:sz w:val="24"/>
      <w:szCs w:val="24"/>
    </w:rPr>
  </w:style>
  <w:style w:type="character" w:styleId="IntenseReference">
    <w:name w:val="Intense Reference"/>
    <w:uiPriority w:val="32"/>
    <w:qFormat/>
    <w:rsid w:val="00F91F13"/>
    <w:rPr>
      <w:b/>
      <w:bCs/>
      <w:i/>
      <w:iCs/>
      <w:caps/>
      <w:color w:val="1CADE4" w:themeColor="accent1"/>
    </w:rPr>
  </w:style>
  <w:style w:type="paragraph" w:styleId="Header">
    <w:name w:val="header"/>
    <w:basedOn w:val="Normal"/>
    <w:link w:val="HeaderChar"/>
    <w:uiPriority w:val="99"/>
    <w:unhideWhenUsed/>
    <w:rsid w:val="00F91F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F13"/>
  </w:style>
  <w:style w:type="paragraph" w:styleId="Footer">
    <w:name w:val="footer"/>
    <w:basedOn w:val="Normal"/>
    <w:link w:val="FooterChar"/>
    <w:uiPriority w:val="99"/>
    <w:unhideWhenUsed/>
    <w:rsid w:val="00F91F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F13"/>
  </w:style>
  <w:style w:type="paragraph" w:styleId="Caption">
    <w:name w:val="caption"/>
    <w:basedOn w:val="Normal"/>
    <w:next w:val="Normal"/>
    <w:uiPriority w:val="35"/>
    <w:semiHidden/>
    <w:unhideWhenUsed/>
    <w:qFormat/>
    <w:rsid w:val="00F91F13"/>
    <w:rPr>
      <w:b/>
      <w:bCs/>
      <w:color w:val="1481AB" w:themeColor="accent1" w:themeShade="BF"/>
      <w:sz w:val="16"/>
      <w:szCs w:val="16"/>
    </w:rPr>
  </w:style>
  <w:style w:type="character" w:styleId="Strong">
    <w:name w:val="Strong"/>
    <w:uiPriority w:val="22"/>
    <w:qFormat/>
    <w:rsid w:val="00F91F13"/>
    <w:rPr>
      <w:b/>
      <w:bCs/>
    </w:rPr>
  </w:style>
  <w:style w:type="character" w:styleId="Emphasis">
    <w:name w:val="Emphasis"/>
    <w:uiPriority w:val="20"/>
    <w:qFormat/>
    <w:rsid w:val="00F91F13"/>
    <w:rPr>
      <w:caps/>
      <w:color w:val="0D5571" w:themeColor="accent1" w:themeShade="7F"/>
      <w:spacing w:val="5"/>
    </w:rPr>
  </w:style>
  <w:style w:type="paragraph" w:styleId="NoSpacing">
    <w:name w:val="No Spacing"/>
    <w:uiPriority w:val="1"/>
    <w:qFormat/>
    <w:rsid w:val="00F91F13"/>
    <w:pPr>
      <w:spacing w:after="0" w:line="240" w:lineRule="auto"/>
    </w:pPr>
  </w:style>
  <w:style w:type="character" w:styleId="SubtleEmphasis">
    <w:name w:val="Subtle Emphasis"/>
    <w:uiPriority w:val="19"/>
    <w:qFormat/>
    <w:rsid w:val="00F91F13"/>
    <w:rPr>
      <w:i/>
      <w:iCs/>
      <w:color w:val="0D5571" w:themeColor="accent1" w:themeShade="7F"/>
    </w:rPr>
  </w:style>
  <w:style w:type="character" w:styleId="SubtleReference">
    <w:name w:val="Subtle Reference"/>
    <w:uiPriority w:val="31"/>
    <w:qFormat/>
    <w:rsid w:val="00F91F13"/>
    <w:rPr>
      <w:b/>
      <w:bCs/>
      <w:color w:val="1CADE4" w:themeColor="accent1"/>
    </w:rPr>
  </w:style>
  <w:style w:type="character" w:styleId="BookTitle">
    <w:name w:val="Book Title"/>
    <w:uiPriority w:val="33"/>
    <w:qFormat/>
    <w:rsid w:val="00F91F13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91F13"/>
    <w:pPr>
      <w:outlineLvl w:val="9"/>
    </w:pPr>
  </w:style>
  <w:style w:type="table" w:styleId="GridTable4-Accent2">
    <w:name w:val="Grid Table 4 Accent 2"/>
    <w:basedOn w:val="TableNormal"/>
    <w:uiPriority w:val="49"/>
    <w:rsid w:val="0077032D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ListTable3-Accent2">
    <w:name w:val="List Table 3 Accent 2"/>
    <w:basedOn w:val="TableNormal"/>
    <w:uiPriority w:val="48"/>
    <w:rsid w:val="0077032D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2"/>
        <w:left w:val="single" w:sz="4" w:space="0" w:color="2683C6" w:themeColor="accent2"/>
        <w:bottom w:val="single" w:sz="4" w:space="0" w:color="2683C6" w:themeColor="accent2"/>
        <w:right w:val="single" w:sz="4" w:space="0" w:color="2683C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2"/>
          <w:right w:val="single" w:sz="4" w:space="0" w:color="2683C6" w:themeColor="accent2"/>
        </w:tcBorders>
      </w:tcPr>
    </w:tblStylePr>
    <w:tblStylePr w:type="band1Horz">
      <w:tblPr/>
      <w:tcPr>
        <w:tcBorders>
          <w:top w:val="single" w:sz="4" w:space="0" w:color="2683C6" w:themeColor="accent2"/>
          <w:bottom w:val="single" w:sz="4" w:space="0" w:color="2683C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2"/>
          <w:left w:val="nil"/>
        </w:tcBorders>
      </w:tcPr>
    </w:tblStylePr>
    <w:tblStylePr w:type="swCell">
      <w:tblPr/>
      <w:tcPr>
        <w:tcBorders>
          <w:top w:val="double" w:sz="4" w:space="0" w:color="2683C6" w:themeColor="accent2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Inte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17A49CA8A98C4CA930A40869FB7315" ma:contentTypeVersion="20" ma:contentTypeDescription="Create a new document." ma:contentTypeScope="" ma:versionID="b3620fd55937bf0efc169702d8f91f28">
  <xsd:schema xmlns:xsd="http://www.w3.org/2001/XMLSchema" xmlns:xs="http://www.w3.org/2001/XMLSchema" xmlns:p="http://schemas.microsoft.com/office/2006/metadata/properties" xmlns:ns2="6acccf7b-fa87-42da-ab8d-89b0b50af728" xmlns:ns3="2d3807e4-2840-4857-a9c0-03d6445b35d4" targetNamespace="http://schemas.microsoft.com/office/2006/metadata/properties" ma:root="true" ma:fieldsID="a5099c48985bc4b104431ec1b1384608" ns2:_="" ns3:_="">
    <xsd:import namespace="6acccf7b-fa87-42da-ab8d-89b0b50af728"/>
    <xsd:import namespace="2d3807e4-2840-4857-a9c0-03d6445b3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Completed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ccf7b-fa87-42da-ab8d-89b0b50af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pleted" ma:index="19" nillable="true" ma:displayName="Completed" ma:default="0" ma:format="Dropdown" ma:internalName="Completed">
      <xsd:simpleType>
        <xsd:restriction base="dms:Boolea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dc6fcb6-cceb-412d-be8d-d81cc1beca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807e4-2840-4857-a9c0-03d6445b35d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f615c87-4a21-4599-8030-8d5c1c7753d5}" ma:internalName="TaxCatchAll" ma:showField="CatchAllData" ma:web="2d3807e4-2840-4857-a9c0-03d6445b3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leted xmlns="6acccf7b-fa87-42da-ab8d-89b0b50af728">false</Completed>
    <lcf76f155ced4ddcb4097134ff3c332f xmlns="6acccf7b-fa87-42da-ab8d-89b0b50af728">
      <Terms xmlns="http://schemas.microsoft.com/office/infopath/2007/PartnerControls"/>
    </lcf76f155ced4ddcb4097134ff3c332f>
    <TaxCatchAll xmlns="2d3807e4-2840-4857-a9c0-03d6445b35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113D72-1A3E-4CD0-835A-49E3B0118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ccf7b-fa87-42da-ab8d-89b0b50af728"/>
    <ds:schemaRef ds:uri="2d3807e4-2840-4857-a9c0-03d6445b3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D4B0E6-D295-455A-949A-08B124F539E9}">
  <ds:schemaRefs>
    <ds:schemaRef ds:uri="http://schemas.microsoft.com/office/2006/metadata/properties"/>
    <ds:schemaRef ds:uri="http://schemas.microsoft.com/office/infopath/2007/PartnerControls"/>
    <ds:schemaRef ds:uri="6acccf7b-fa87-42da-ab8d-89b0b50af728"/>
    <ds:schemaRef ds:uri="2d3807e4-2840-4857-a9c0-03d6445b35d4"/>
  </ds:schemaRefs>
</ds:datastoreItem>
</file>

<file path=customXml/itemProps3.xml><?xml version="1.0" encoding="utf-8"?>
<ds:datastoreItem xmlns:ds="http://schemas.openxmlformats.org/officeDocument/2006/customXml" ds:itemID="{C818F67D-77EA-4D58-AB82-54B4C1E657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Telford</dc:creator>
  <cp:keywords/>
  <dc:description/>
  <cp:lastModifiedBy>Ali Telford</cp:lastModifiedBy>
  <cp:revision>3</cp:revision>
  <dcterms:created xsi:type="dcterms:W3CDTF">2026-06-28T05:08:00Z</dcterms:created>
  <dcterms:modified xsi:type="dcterms:W3CDTF">2026-06-28T05:08:00Z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0x0101009917A49CA8A98C4CA930A40869FB7315</vt:lpwstr>
  </property>
  <property fmtid="{D5CDD505-2E9C-101B-9397-08002B2CF9AE}" pid="3" name="MediaServiceImageTags">
    <vt:lpwstr/>
  </property>
</Properties>
</file>