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2369" w14:textId="51791E82" w:rsidR="00083964" w:rsidRDefault="00083964" w:rsidP="00083964">
      <w:pPr>
        <w:autoSpaceDE w:val="0"/>
        <w:autoSpaceDN w:val="0"/>
        <w:adjustRightInd w:val="0"/>
        <w:spacing w:after="0" w:line="240" w:lineRule="auto"/>
        <w:jc w:val="center"/>
        <w:rPr>
          <w:rFonts w:cs="Consolas"/>
          <w:b/>
          <w:bCs/>
          <w:color w:val="000000"/>
          <w:kern w:val="0"/>
          <w:sz w:val="28"/>
        </w:rPr>
      </w:pPr>
      <w:r w:rsidRPr="00083964">
        <w:rPr>
          <w:rFonts w:cs="Consolas"/>
          <w:b/>
          <w:bCs/>
          <w:color w:val="000000"/>
          <w:kern w:val="0"/>
          <w:sz w:val="28"/>
        </w:rPr>
        <w:t>Tennis Club Financial Management and Delegations Policy</w:t>
      </w:r>
      <w:r>
        <w:rPr>
          <w:rFonts w:cs="Consolas"/>
          <w:b/>
          <w:bCs/>
          <w:color w:val="000000"/>
          <w:kern w:val="0"/>
          <w:sz w:val="28"/>
        </w:rPr>
        <w:t xml:space="preserve"> Example</w:t>
      </w:r>
    </w:p>
    <w:p w14:paraId="06E755A5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jc w:val="center"/>
        <w:rPr>
          <w:rFonts w:cs="Consolas"/>
          <w:b/>
          <w:bCs/>
          <w:color w:val="000000"/>
          <w:kern w:val="0"/>
          <w:sz w:val="28"/>
        </w:rPr>
      </w:pPr>
    </w:p>
    <w:p w14:paraId="5426738F" w14:textId="525D3029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 xml:space="preserve">1. Purpose of this Policy is: </w:t>
      </w:r>
      <w:r>
        <w:rPr>
          <w:rFonts w:cs="Consolas"/>
          <w:color w:val="000000"/>
          <w:kern w:val="0"/>
          <w:szCs w:val="22"/>
        </w:rPr>
        <w:t>To outline</w:t>
      </w:r>
      <w:r w:rsidRPr="00083964">
        <w:rPr>
          <w:rFonts w:cs="Consolas"/>
          <w:color w:val="000000"/>
          <w:kern w:val="0"/>
          <w:szCs w:val="22"/>
        </w:rPr>
        <w:t xml:space="preserve"> how the tennis club manages its finances responsibly and sets clear financial delegations to ensure:</w:t>
      </w:r>
    </w:p>
    <w:p w14:paraId="622C2963" w14:textId="77777777" w:rsidR="00083964" w:rsidRPr="00EB6167" w:rsidRDefault="00083964" w:rsidP="00EB61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EB6167">
        <w:rPr>
          <w:rFonts w:cs="Consolas"/>
          <w:color w:val="000000"/>
          <w:kern w:val="0"/>
          <w:szCs w:val="22"/>
        </w:rPr>
        <w:t>Club funds are protected and used appropriately</w:t>
      </w:r>
    </w:p>
    <w:p w14:paraId="533C9F25" w14:textId="77777777" w:rsidR="00083964" w:rsidRPr="00EB6167" w:rsidRDefault="00083964" w:rsidP="00EB61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EB6167">
        <w:rPr>
          <w:rFonts w:cs="Consolas"/>
          <w:color w:val="000000"/>
          <w:kern w:val="0"/>
          <w:szCs w:val="22"/>
        </w:rPr>
        <w:t>Financial decisions are transparent and accountable</w:t>
      </w:r>
    </w:p>
    <w:p w14:paraId="57B222A9" w14:textId="77777777" w:rsidR="00083964" w:rsidRPr="00EB6167" w:rsidRDefault="00083964" w:rsidP="00EB61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EB6167">
        <w:rPr>
          <w:rFonts w:cs="Consolas"/>
          <w:color w:val="000000"/>
          <w:kern w:val="0"/>
          <w:szCs w:val="22"/>
        </w:rPr>
        <w:t>Committee members understand their authority and responsibilities</w:t>
      </w:r>
    </w:p>
    <w:p w14:paraId="5F8A4F9B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55DA85AD" w14:textId="2C0254AA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2. Financial Governance Principles</w:t>
      </w:r>
      <w:r>
        <w:rPr>
          <w:rFonts w:cs="Consolas"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>The committee commits to:</w:t>
      </w:r>
    </w:p>
    <w:p w14:paraId="3B472BB1" w14:textId="77777777" w:rsidR="00083964" w:rsidRPr="00773B27" w:rsidRDefault="00083964" w:rsidP="00773B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773B27">
        <w:rPr>
          <w:rFonts w:cs="Consolas"/>
          <w:color w:val="000000"/>
          <w:kern w:val="0"/>
          <w:szCs w:val="22"/>
        </w:rPr>
        <w:t>Acting as good stewards of club funds</w:t>
      </w:r>
    </w:p>
    <w:p w14:paraId="34640A15" w14:textId="77777777" w:rsidR="00083964" w:rsidRPr="00773B27" w:rsidRDefault="00083964" w:rsidP="00773B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773B27">
        <w:rPr>
          <w:rFonts w:cs="Consolas"/>
          <w:color w:val="000000"/>
          <w:kern w:val="0"/>
          <w:szCs w:val="22"/>
        </w:rPr>
        <w:t>Using club money only for approved club purposes</w:t>
      </w:r>
    </w:p>
    <w:p w14:paraId="7CE386DD" w14:textId="77777777" w:rsidR="00083964" w:rsidRPr="00773B27" w:rsidRDefault="00083964" w:rsidP="00773B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773B27">
        <w:rPr>
          <w:rFonts w:cs="Consolas"/>
          <w:color w:val="000000"/>
          <w:kern w:val="0"/>
          <w:szCs w:val="22"/>
        </w:rPr>
        <w:t>Maintaining accurate and transparent financial records</w:t>
      </w:r>
    </w:p>
    <w:p w14:paraId="3FB9D82D" w14:textId="77777777" w:rsidR="00083964" w:rsidRPr="00773B27" w:rsidRDefault="00083964" w:rsidP="00773B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773B27">
        <w:rPr>
          <w:rFonts w:cs="Consolas"/>
          <w:color w:val="000000"/>
          <w:kern w:val="0"/>
          <w:szCs w:val="22"/>
        </w:rPr>
        <w:t>Ensuring appropriate checks and balances are in place</w:t>
      </w:r>
    </w:p>
    <w:p w14:paraId="3FDCCAD5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145E2B91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3. Roles and Responsibilities</w:t>
      </w:r>
    </w:p>
    <w:p w14:paraId="7D19EB87" w14:textId="012C4EDF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  <w:u w:val="single"/>
        </w:rPr>
        <w:t xml:space="preserve">3.1 Committee </w:t>
      </w:r>
      <w:r w:rsidRPr="00083964">
        <w:rPr>
          <w:rFonts w:cs="Consolas"/>
          <w:color w:val="000000"/>
          <w:kern w:val="0"/>
          <w:szCs w:val="22"/>
        </w:rPr>
        <w:t>has overall responsibility for the club’s financial management, including:</w:t>
      </w:r>
    </w:p>
    <w:p w14:paraId="666D86B0" w14:textId="77777777" w:rsidR="00083964" w:rsidRPr="00773B27" w:rsidRDefault="00083964" w:rsidP="00773B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773B27">
        <w:rPr>
          <w:rFonts w:cs="Consolas"/>
          <w:color w:val="000000"/>
          <w:kern w:val="0"/>
          <w:szCs w:val="22"/>
        </w:rPr>
        <w:t>Approving budgets and major financial decisions</w:t>
      </w:r>
    </w:p>
    <w:p w14:paraId="12D4F677" w14:textId="77777777" w:rsidR="00083964" w:rsidRPr="00773B27" w:rsidRDefault="00083964" w:rsidP="00773B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773B27">
        <w:rPr>
          <w:rFonts w:cs="Consolas"/>
          <w:color w:val="000000"/>
          <w:kern w:val="0"/>
          <w:szCs w:val="22"/>
        </w:rPr>
        <w:t>Ensuring appropriate financial controls are in place</w:t>
      </w:r>
    </w:p>
    <w:p w14:paraId="0EFFF59F" w14:textId="77777777" w:rsidR="00083964" w:rsidRPr="00773B27" w:rsidRDefault="00083964" w:rsidP="00773B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773B27">
        <w:rPr>
          <w:rFonts w:cs="Consolas"/>
          <w:color w:val="000000"/>
          <w:kern w:val="0"/>
          <w:szCs w:val="22"/>
        </w:rPr>
        <w:t>Monitoring the club’s financial performance</w:t>
      </w:r>
    </w:p>
    <w:p w14:paraId="40EB7D7C" w14:textId="27DEA3A3" w:rsidR="00083964" w:rsidRPr="00773B27" w:rsidRDefault="00083964" w:rsidP="00773B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773B27">
        <w:rPr>
          <w:rFonts w:cs="Consolas"/>
          <w:color w:val="000000"/>
          <w:kern w:val="0"/>
          <w:szCs w:val="22"/>
        </w:rPr>
        <w:t>Ensuring legal and regulatory obligations are met</w:t>
      </w:r>
    </w:p>
    <w:p w14:paraId="41B4688D" w14:textId="5F78EE4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  <w:u w:val="single"/>
        </w:rPr>
        <w:t xml:space="preserve">3.2 </w:t>
      </w:r>
      <w:r w:rsidR="001C4CC4" w:rsidRPr="00083964">
        <w:rPr>
          <w:rFonts w:cs="Consolas"/>
          <w:color w:val="000000"/>
          <w:kern w:val="0"/>
          <w:szCs w:val="22"/>
          <w:u w:val="single"/>
        </w:rPr>
        <w:t>Treasurer</w:t>
      </w:r>
      <w:r w:rsidR="001C4CC4">
        <w:rPr>
          <w:rFonts w:cs="Consolas"/>
          <w:color w:val="000000"/>
          <w:kern w:val="0"/>
          <w:szCs w:val="22"/>
          <w:u w:val="single"/>
        </w:rPr>
        <w:t xml:space="preserve"> </w:t>
      </w:r>
      <w:r w:rsidR="001C4CC4" w:rsidRPr="00083964">
        <w:rPr>
          <w:rFonts w:cs="Consolas"/>
          <w:color w:val="000000"/>
          <w:kern w:val="0"/>
          <w:szCs w:val="22"/>
        </w:rPr>
        <w:t>is</w:t>
      </w:r>
      <w:r w:rsidRPr="00083964">
        <w:rPr>
          <w:rFonts w:cs="Consolas"/>
          <w:color w:val="000000"/>
          <w:kern w:val="0"/>
          <w:szCs w:val="22"/>
        </w:rPr>
        <w:t xml:space="preserve"> responsible for:</w:t>
      </w:r>
    </w:p>
    <w:p w14:paraId="411BB127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Day-to-day financial management</w:t>
      </w:r>
    </w:p>
    <w:p w14:paraId="5E680D64" w14:textId="77777777" w:rsidR="00083964" w:rsidRPr="00125CE7" w:rsidRDefault="00083964" w:rsidP="00125C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Maintaining accurate financial records</w:t>
      </w:r>
    </w:p>
    <w:p w14:paraId="58D6A891" w14:textId="77777777" w:rsidR="00083964" w:rsidRPr="00125CE7" w:rsidRDefault="00083964" w:rsidP="00125C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Preparing budgets and financial reports</w:t>
      </w:r>
    </w:p>
    <w:p w14:paraId="3E0DAA74" w14:textId="77777777" w:rsidR="00083964" w:rsidRPr="00125CE7" w:rsidRDefault="00083964" w:rsidP="00125C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Ensuring payments and income are processed correctly</w:t>
      </w:r>
    </w:p>
    <w:p w14:paraId="44F6AFE5" w14:textId="1DDCEFF9" w:rsidR="00083964" w:rsidRPr="00125CE7" w:rsidRDefault="00083964" w:rsidP="00125C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Reporting regularly to the committee on financial position</w:t>
      </w:r>
    </w:p>
    <w:p w14:paraId="37FA2DDE" w14:textId="02FFD366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  <w:u w:val="single"/>
        </w:rPr>
        <w:t>3.3 Chair / President</w:t>
      </w:r>
      <w:r>
        <w:rPr>
          <w:rFonts w:cs="Consolas"/>
          <w:color w:val="000000"/>
          <w:kern w:val="0"/>
          <w:szCs w:val="22"/>
        </w:rPr>
        <w:t xml:space="preserve"> </w:t>
      </w:r>
      <w:r w:rsidRPr="00083964">
        <w:rPr>
          <w:rFonts w:cs="Consolas"/>
          <w:color w:val="000000"/>
          <w:kern w:val="0"/>
          <w:szCs w:val="22"/>
        </w:rPr>
        <w:t>is responsible for:</w:t>
      </w:r>
    </w:p>
    <w:p w14:paraId="13BE63EF" w14:textId="77777777" w:rsidR="00083964" w:rsidRPr="00125CE7" w:rsidRDefault="00083964" w:rsidP="00125CE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Providing oversight of financial decision-making</w:t>
      </w:r>
    </w:p>
    <w:p w14:paraId="0A0C89D7" w14:textId="77777777" w:rsidR="00083964" w:rsidRPr="00125CE7" w:rsidRDefault="00083964" w:rsidP="00125CE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Supporting the Treasurer</w:t>
      </w:r>
    </w:p>
    <w:p w14:paraId="1E10B18F" w14:textId="77777777" w:rsidR="00083964" w:rsidRPr="00125CE7" w:rsidRDefault="00083964" w:rsidP="00125CE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Acting as a secondary authority for financial approvals where delegated</w:t>
      </w:r>
    </w:p>
    <w:p w14:paraId="050B9372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0E4B66A4" w14:textId="2B5DAFF8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4. Budgeting</w:t>
      </w:r>
    </w:p>
    <w:p w14:paraId="27766C28" w14:textId="42DDBF43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An annual budget will be prepared and approved by the committee</w:t>
      </w:r>
      <w:r w:rsidR="00125CE7">
        <w:rPr>
          <w:rFonts w:cs="Consolas"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>The budget should align with the club’s strategic priorities</w:t>
      </w:r>
      <w:r w:rsidR="00125CE7">
        <w:rPr>
          <w:rFonts w:cs="Consolas"/>
          <w:color w:val="000000"/>
          <w:kern w:val="0"/>
          <w:szCs w:val="22"/>
        </w:rPr>
        <w:t>. A</w:t>
      </w:r>
      <w:r w:rsidRPr="00083964">
        <w:rPr>
          <w:rFonts w:cs="Consolas"/>
          <w:color w:val="000000"/>
          <w:kern w:val="0"/>
          <w:szCs w:val="22"/>
        </w:rPr>
        <w:t>ny significant variation from the approved budget must be reported to the committee</w:t>
      </w:r>
      <w:r w:rsidR="00635A47">
        <w:rPr>
          <w:rFonts w:cs="Consolas"/>
          <w:color w:val="000000"/>
          <w:kern w:val="0"/>
          <w:szCs w:val="22"/>
        </w:rPr>
        <w:t>.</w:t>
      </w:r>
    </w:p>
    <w:p w14:paraId="05200E01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7B8E85C1" w14:textId="30361B82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5. Banking and Accounts</w:t>
      </w:r>
    </w:p>
    <w:p w14:paraId="25AE3839" w14:textId="77777777" w:rsidR="00083964" w:rsidRPr="00125CE7" w:rsidRDefault="00083964" w:rsidP="00125CE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All club funds must be held in approved club bank accounts</w:t>
      </w:r>
    </w:p>
    <w:p w14:paraId="27AFA6F8" w14:textId="77777777" w:rsidR="00083964" w:rsidRPr="00125CE7" w:rsidRDefault="00083964" w:rsidP="00125CE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Club accounts must require at least two authorised signatories</w:t>
      </w:r>
    </w:p>
    <w:p w14:paraId="18A53DC8" w14:textId="77777777" w:rsidR="00083964" w:rsidRPr="00125CE7" w:rsidRDefault="00083964" w:rsidP="00125CE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Electronic banking access should be limited to approved roles</w:t>
      </w:r>
    </w:p>
    <w:p w14:paraId="29730FF1" w14:textId="26CA2737" w:rsidR="00083964" w:rsidRPr="00125CE7" w:rsidRDefault="00083964" w:rsidP="00125CE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25CE7">
        <w:rPr>
          <w:rFonts w:cs="Consolas"/>
          <w:color w:val="000000"/>
          <w:kern w:val="0"/>
          <w:szCs w:val="22"/>
        </w:rPr>
        <w:t>Bank reconciliations should be completed regularly</w:t>
      </w:r>
    </w:p>
    <w:p w14:paraId="3E3746B9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292056F" w14:textId="344F2C6B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6. Payments and Expenditure</w:t>
      </w:r>
    </w:p>
    <w:p w14:paraId="3E9E7C1E" w14:textId="1BB326A1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All expenditure must be for legitimate club purposes</w:t>
      </w:r>
      <w:r w:rsidR="00125CE7">
        <w:rPr>
          <w:rFonts w:cs="Consolas"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>Supporting documentation (e.g. invoices, receipts) must be provided</w:t>
      </w:r>
      <w:r w:rsidR="00125CE7">
        <w:rPr>
          <w:rFonts w:cs="Consolas"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>Cash payments should be avoided where possible</w:t>
      </w:r>
      <w:r w:rsidR="00635A47">
        <w:rPr>
          <w:rFonts w:cs="Consolas"/>
          <w:color w:val="000000"/>
          <w:kern w:val="0"/>
          <w:szCs w:val="22"/>
        </w:rPr>
        <w:t>.</w:t>
      </w:r>
    </w:p>
    <w:p w14:paraId="610C627D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1CB1C58D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lastRenderedPageBreak/>
        <w:t>7. Financial Delegations</w:t>
      </w:r>
    </w:p>
    <w:p w14:paraId="3F415AEE" w14:textId="5C67CAA1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  <w:u w:val="single"/>
        </w:rPr>
        <w:t>7.1 General Principles</w:t>
      </w:r>
    </w:p>
    <w:p w14:paraId="36B99E12" w14:textId="42DA7C4C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Financial authority is delegated to support efficient operation</w:t>
      </w:r>
      <w:r w:rsidR="001C4CC4">
        <w:rPr>
          <w:rFonts w:cs="Consolas"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>Delegations apply only within the approved budget</w:t>
      </w:r>
      <w:r w:rsidR="001C4CC4">
        <w:rPr>
          <w:rFonts w:cs="Consolas"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>No individual may approve payments to themselves</w:t>
      </w:r>
    </w:p>
    <w:p w14:paraId="1F0016EB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  <w:u w:val="single"/>
        </w:rPr>
      </w:pPr>
      <w:r w:rsidRPr="00083964">
        <w:rPr>
          <w:rFonts w:cs="Consolas"/>
          <w:color w:val="000000"/>
          <w:kern w:val="0"/>
          <w:szCs w:val="22"/>
          <w:u w:val="single"/>
        </w:rPr>
        <w:t>7.2 Delegations Table (Example)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4052"/>
      </w:tblGrid>
      <w:tr w:rsidR="00083964" w:rsidRPr="00083964" w14:paraId="76EA4D36" w14:textId="77777777" w:rsidTr="00047B5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17BFA01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b/>
                <w:bCs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b/>
                <w:bCs/>
                <w:color w:val="000000"/>
                <w:kern w:val="0"/>
                <w:szCs w:val="22"/>
              </w:rPr>
              <w:t>Financial Activity</w:t>
            </w:r>
          </w:p>
        </w:tc>
        <w:tc>
          <w:tcPr>
            <w:tcW w:w="40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32E0E3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b/>
                <w:bCs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b/>
                <w:bCs/>
                <w:color w:val="000000"/>
                <w:kern w:val="0"/>
                <w:szCs w:val="22"/>
              </w:rPr>
              <w:t>Delegated Authority</w:t>
            </w:r>
          </w:p>
        </w:tc>
      </w:tr>
      <w:tr w:rsidR="00083964" w:rsidRPr="00083964" w14:paraId="18996F21" w14:textId="77777777" w:rsidTr="00047B5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A10E6D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Expenditure up to $500 (budgeted)</w:t>
            </w:r>
          </w:p>
        </w:tc>
        <w:tc>
          <w:tcPr>
            <w:tcW w:w="40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B31E2C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Treasurer</w:t>
            </w:r>
          </w:p>
        </w:tc>
      </w:tr>
      <w:tr w:rsidR="00083964" w:rsidRPr="00083964" w14:paraId="666739C8" w14:textId="77777777" w:rsidTr="00047B5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49031A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Expenditure $501 – $2,000 (budgeted)</w:t>
            </w:r>
          </w:p>
        </w:tc>
        <w:tc>
          <w:tcPr>
            <w:tcW w:w="40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08EC89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Treasurer + Chair</w:t>
            </w:r>
          </w:p>
        </w:tc>
      </w:tr>
      <w:tr w:rsidR="00083964" w:rsidRPr="00083964" w14:paraId="6342E5C7" w14:textId="77777777" w:rsidTr="00047B5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208ACB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Expenditure over $2,000 or unbudgeted</w:t>
            </w:r>
          </w:p>
        </w:tc>
        <w:tc>
          <w:tcPr>
            <w:tcW w:w="40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795F1D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Full Committee approval</w:t>
            </w:r>
          </w:p>
        </w:tc>
      </w:tr>
      <w:tr w:rsidR="00083964" w:rsidRPr="00083964" w14:paraId="2326935B" w14:textId="77777777" w:rsidTr="00047B5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75E214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Signing payments / electronic approvals</w:t>
            </w:r>
          </w:p>
        </w:tc>
        <w:tc>
          <w:tcPr>
            <w:tcW w:w="40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6EEA7C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Two authorised signatories</w:t>
            </w:r>
          </w:p>
        </w:tc>
      </w:tr>
      <w:tr w:rsidR="00083964" w:rsidRPr="00083964" w14:paraId="189E4F33" w14:textId="77777777" w:rsidTr="00047B5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EFCAB9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Entering contracts or long-term commitments</w:t>
            </w:r>
          </w:p>
        </w:tc>
        <w:tc>
          <w:tcPr>
            <w:tcW w:w="40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40EBAF" w14:textId="77777777" w:rsidR="00083964" w:rsidRPr="00083964" w:rsidRDefault="00083964" w:rsidP="00083964">
            <w:pPr>
              <w:autoSpaceDE w:val="0"/>
              <w:autoSpaceDN w:val="0"/>
              <w:adjustRightInd w:val="0"/>
              <w:spacing w:after="0" w:line="240" w:lineRule="auto"/>
              <w:rPr>
                <w:rFonts w:cs="Consolas"/>
                <w:color w:val="000000"/>
                <w:kern w:val="0"/>
                <w:szCs w:val="22"/>
              </w:rPr>
            </w:pPr>
            <w:r w:rsidRPr="00083964">
              <w:rPr>
                <w:rFonts w:cs="Consolas"/>
                <w:color w:val="000000"/>
                <w:kern w:val="0"/>
                <w:szCs w:val="22"/>
              </w:rPr>
              <w:t>Committee approval</w:t>
            </w:r>
          </w:p>
        </w:tc>
      </w:tr>
    </w:tbl>
    <w:p w14:paraId="3BD7B24D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2FD0C17D" w14:textId="740ED930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8. Conflicts of Interest</w:t>
      </w:r>
    </w:p>
    <w:p w14:paraId="60E06B15" w14:textId="6BC5C600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Committee members must not benefit personally from club funds</w:t>
      </w:r>
      <w:r w:rsidR="001C4CC4">
        <w:rPr>
          <w:rFonts w:cs="Consolas"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>Any actual or perceived financial conflict of interest must be declared</w:t>
      </w:r>
      <w:r w:rsidR="001C4CC4">
        <w:rPr>
          <w:rFonts w:cs="Consolas"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>Members with a conflict must not participate in related decision-making</w:t>
      </w:r>
      <w:r w:rsidR="001C4CC4">
        <w:rPr>
          <w:rFonts w:cs="Consolas"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>All conflicts should be recorded in meeting minutes</w:t>
      </w:r>
    </w:p>
    <w:p w14:paraId="1C78E9A2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F7D72CC" w14:textId="6C11E52B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9. Financial Reporting</w:t>
      </w:r>
    </w:p>
    <w:p w14:paraId="272190B9" w14:textId="0591A2AD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The committee should receive regular financial reports, typically:</w:t>
      </w:r>
    </w:p>
    <w:p w14:paraId="4DB9DB07" w14:textId="77777777" w:rsidR="00083964" w:rsidRPr="001C4CC4" w:rsidRDefault="00083964" w:rsidP="001C4C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Income and expenditure summary</w:t>
      </w:r>
    </w:p>
    <w:p w14:paraId="6E1482DE" w14:textId="77777777" w:rsidR="00083964" w:rsidRPr="001C4CC4" w:rsidRDefault="00083964" w:rsidP="001C4C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Bank balance</w:t>
      </w:r>
    </w:p>
    <w:p w14:paraId="21BC3AC1" w14:textId="784637A1" w:rsidR="00083964" w:rsidRPr="001C4CC4" w:rsidRDefault="00083964" w:rsidP="001C4C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Any significant risks or variances</w:t>
      </w:r>
    </w:p>
    <w:p w14:paraId="4D26D3E8" w14:textId="77777777" w:rsidR="00083964" w:rsidRPr="001C4CC4" w:rsidRDefault="00083964" w:rsidP="001C4C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Annual financial statements should be prepared and presented to members at the AGM</w:t>
      </w:r>
    </w:p>
    <w:p w14:paraId="36F4E95B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CA9286A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10. Asset Management</w:t>
      </w:r>
    </w:p>
    <w:p w14:paraId="472EF506" w14:textId="38D10B35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The committee is responsible for:</w:t>
      </w:r>
    </w:p>
    <w:p w14:paraId="6F7AB69A" w14:textId="77777777" w:rsidR="00083964" w:rsidRPr="001C4CC4" w:rsidRDefault="00083964" w:rsidP="001C4C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Maintaining a register of significant club assets</w:t>
      </w:r>
    </w:p>
    <w:p w14:paraId="51BC2077" w14:textId="77777777" w:rsidR="00083964" w:rsidRPr="001C4CC4" w:rsidRDefault="00083964" w:rsidP="001C4C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Ensuring club assets are safeguarded and insured</w:t>
      </w:r>
    </w:p>
    <w:p w14:paraId="39364C13" w14:textId="77777777" w:rsidR="00083964" w:rsidRPr="001C4CC4" w:rsidRDefault="00083964" w:rsidP="001C4C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Approving the purchase or disposal of major assets</w:t>
      </w:r>
    </w:p>
    <w:p w14:paraId="77466061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1EC4EEA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11. Fraud and Misuse of Funds</w:t>
      </w:r>
    </w:p>
    <w:p w14:paraId="253F362D" w14:textId="46A7C380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Any suspected misuse of club funds must be:</w:t>
      </w:r>
    </w:p>
    <w:p w14:paraId="050E14EC" w14:textId="77777777" w:rsidR="00083964" w:rsidRPr="001C4CC4" w:rsidRDefault="00083964" w:rsidP="001C4C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Reported to the Chair/President</w:t>
      </w:r>
    </w:p>
    <w:p w14:paraId="08455A89" w14:textId="77777777" w:rsidR="00083964" w:rsidRPr="001C4CC4" w:rsidRDefault="00083964" w:rsidP="001C4C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Investigated by the committee</w:t>
      </w:r>
    </w:p>
    <w:p w14:paraId="3AFEB083" w14:textId="2D03D7C6" w:rsidR="00083964" w:rsidRPr="001C4CC4" w:rsidRDefault="00083964" w:rsidP="001C4C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cs="Consolas"/>
          <w:color w:val="000000"/>
          <w:kern w:val="0"/>
          <w:szCs w:val="22"/>
        </w:rPr>
      </w:pPr>
      <w:r w:rsidRPr="001C4CC4">
        <w:rPr>
          <w:rFonts w:cs="Consolas"/>
          <w:color w:val="000000"/>
          <w:kern w:val="0"/>
          <w:szCs w:val="22"/>
        </w:rPr>
        <w:t>Managed in line with the club’s constitution and any relevant legal requirements</w:t>
      </w:r>
    </w:p>
    <w:p w14:paraId="57C6540D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E9354FB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12. Review of Policy</w:t>
      </w:r>
    </w:p>
    <w:p w14:paraId="25300E5B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This policy will be reviewed periodically to ensure it remains appropriate for the size and operation of the club.</w:t>
      </w:r>
    </w:p>
    <w:p w14:paraId="3FA38590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FA50612" w14:textId="35BF36FF" w:rsid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b/>
          <w:bCs/>
          <w:color w:val="000000"/>
          <w:kern w:val="0"/>
          <w:szCs w:val="22"/>
        </w:rPr>
        <w:t>13. Adoption of Policy</w:t>
      </w:r>
      <w:r>
        <w:rPr>
          <w:rFonts w:cs="Consolas"/>
          <w:b/>
          <w:bCs/>
          <w:color w:val="000000"/>
          <w:kern w:val="0"/>
          <w:szCs w:val="22"/>
        </w:rPr>
        <w:t xml:space="preserve">. </w:t>
      </w:r>
      <w:r w:rsidRPr="00083964">
        <w:rPr>
          <w:rFonts w:cs="Consolas"/>
          <w:color w:val="000000"/>
          <w:kern w:val="0"/>
          <w:szCs w:val="22"/>
        </w:rPr>
        <w:t xml:space="preserve">This Financial Management and Delegations Policy </w:t>
      </w:r>
      <w:proofErr w:type="gramStart"/>
      <w:r w:rsidRPr="00083964">
        <w:rPr>
          <w:rFonts w:cs="Consolas"/>
          <w:color w:val="000000"/>
          <w:kern w:val="0"/>
          <w:szCs w:val="22"/>
        </w:rPr>
        <w:t>was</w:t>
      </w:r>
      <w:proofErr w:type="gramEnd"/>
      <w:r w:rsidRPr="00083964">
        <w:rPr>
          <w:rFonts w:cs="Consolas"/>
          <w:color w:val="000000"/>
          <w:kern w:val="0"/>
          <w:szCs w:val="22"/>
        </w:rPr>
        <w:t xml:space="preserve"> adopted by the committee on:</w:t>
      </w:r>
      <w:r>
        <w:rPr>
          <w:rFonts w:cs="Consolas"/>
          <w:color w:val="000000"/>
          <w:kern w:val="0"/>
          <w:szCs w:val="22"/>
        </w:rPr>
        <w:t xml:space="preserve"> </w:t>
      </w:r>
      <w:r w:rsidRPr="00083964">
        <w:rPr>
          <w:rFonts w:cs="Consolas"/>
          <w:color w:val="000000"/>
          <w:kern w:val="0"/>
          <w:szCs w:val="22"/>
        </w:rPr>
        <w:t>Date: ______________________</w:t>
      </w:r>
    </w:p>
    <w:p w14:paraId="3A7E1F4F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28E6E6BD" w14:textId="77777777" w:rsidR="00083964" w:rsidRPr="00083964" w:rsidRDefault="00083964" w:rsidP="00083964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083964">
        <w:rPr>
          <w:rFonts w:cs="Consolas"/>
          <w:color w:val="000000"/>
          <w:kern w:val="0"/>
          <w:szCs w:val="22"/>
        </w:rPr>
        <w:t>Signed (Chair/President): ______________________</w:t>
      </w:r>
    </w:p>
    <w:p w14:paraId="2E3CF67E" w14:textId="77777777" w:rsidR="00A44276" w:rsidRPr="00083964" w:rsidRDefault="00A44276"/>
    <w:sectPr w:rsidR="00A44276" w:rsidRPr="00083964" w:rsidSect="0008396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9AB"/>
    <w:multiLevelType w:val="hybridMultilevel"/>
    <w:tmpl w:val="09902F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7D3"/>
    <w:multiLevelType w:val="hybridMultilevel"/>
    <w:tmpl w:val="8D5ED1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7CBC"/>
    <w:multiLevelType w:val="hybridMultilevel"/>
    <w:tmpl w:val="10CA99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51730"/>
    <w:multiLevelType w:val="hybridMultilevel"/>
    <w:tmpl w:val="83A82A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2D44"/>
    <w:multiLevelType w:val="hybridMultilevel"/>
    <w:tmpl w:val="878A3B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50A9"/>
    <w:multiLevelType w:val="hybridMultilevel"/>
    <w:tmpl w:val="76F4EE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C502B"/>
    <w:multiLevelType w:val="hybridMultilevel"/>
    <w:tmpl w:val="94863C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A7A11"/>
    <w:multiLevelType w:val="hybridMultilevel"/>
    <w:tmpl w:val="62165B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471CD"/>
    <w:multiLevelType w:val="hybridMultilevel"/>
    <w:tmpl w:val="271E14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96485"/>
    <w:multiLevelType w:val="hybridMultilevel"/>
    <w:tmpl w:val="182815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98300">
    <w:abstractNumId w:val="9"/>
  </w:num>
  <w:num w:numId="2" w16cid:durableId="1853910734">
    <w:abstractNumId w:val="2"/>
  </w:num>
  <w:num w:numId="3" w16cid:durableId="300498165">
    <w:abstractNumId w:val="6"/>
  </w:num>
  <w:num w:numId="4" w16cid:durableId="584148812">
    <w:abstractNumId w:val="5"/>
  </w:num>
  <w:num w:numId="5" w16cid:durableId="1823229439">
    <w:abstractNumId w:val="3"/>
  </w:num>
  <w:num w:numId="6" w16cid:durableId="1743217120">
    <w:abstractNumId w:val="4"/>
  </w:num>
  <w:num w:numId="7" w16cid:durableId="1767655577">
    <w:abstractNumId w:val="8"/>
  </w:num>
  <w:num w:numId="8" w16cid:durableId="1712001250">
    <w:abstractNumId w:val="7"/>
  </w:num>
  <w:num w:numId="9" w16cid:durableId="1663384539">
    <w:abstractNumId w:val="1"/>
  </w:num>
  <w:num w:numId="10" w16cid:durableId="76415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64"/>
    <w:rsid w:val="00047B55"/>
    <w:rsid w:val="00083964"/>
    <w:rsid w:val="00103265"/>
    <w:rsid w:val="00125CE7"/>
    <w:rsid w:val="001C4CC4"/>
    <w:rsid w:val="003F757F"/>
    <w:rsid w:val="00490208"/>
    <w:rsid w:val="00635A47"/>
    <w:rsid w:val="00661150"/>
    <w:rsid w:val="00773B27"/>
    <w:rsid w:val="00A44276"/>
    <w:rsid w:val="00E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CCEC"/>
  <w15:chartTrackingRefBased/>
  <w15:docId w15:val="{C007B1F3-69CC-49FD-BF58-F00A5FED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NZ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9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9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9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839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839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8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A7D94-60D0-4F15-992C-AFD604864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C43CF-C2CA-487A-B13E-7AB78D9E149E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3.xml><?xml version="1.0" encoding="utf-8"?>
<ds:datastoreItem xmlns:ds="http://schemas.openxmlformats.org/officeDocument/2006/customXml" ds:itemID="{46A8A40C-5FBE-4829-9B03-7B3254B46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547</Words>
  <Characters>3402</Characters>
  <Application>Microsoft Office Word</Application>
  <DocSecurity>0</DocSecurity>
  <Lines>100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Telford</dc:creator>
  <cp:keywords/>
  <dc:description/>
  <cp:lastModifiedBy>Ali Telford</cp:lastModifiedBy>
  <cp:revision>9</cp:revision>
  <dcterms:created xsi:type="dcterms:W3CDTF">2026-04-17T01:00:00Z</dcterms:created>
  <dcterms:modified xsi:type="dcterms:W3CDTF">2026-04-21T02:31:00Z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